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07105"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Ian Garlic</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R&amp;C_Completed Videos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TC0529267486</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63380442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35898998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907195391"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8131160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17721977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b/>
          <w:color w:val="0000FF"/>
          <w:sz w:val="24"/>
          <w:u w:val="single"/>
          <w:lang w:val="en-US" w:bidi="ar-SA"/>
        </w:rPr>
      </w:pPr>
      <w:r>
        <w:rPr>
          <w:rStyle w:val="DefaultParagraphFont"/>
          <w:rFonts w:eastAsia="MS Mincho"/>
          <w:b/>
          <w:color w:val="0000FF"/>
          <w:sz w:val="24"/>
          <w:u w:val="single"/>
          <w:lang w:val="en-US" w:bidi="ar-SA"/>
        </w:rPr>
        <w:fldChar w:fldCharType="begin"/>
      </w:r>
      <w:r>
        <w:rPr>
          <w:rStyle w:val="DefaultParagraphFont"/>
          <w:rFonts w:eastAsia="MS Mincho"/>
          <w:b/>
          <w:color w:val="0000FF"/>
          <w:sz w:val="24"/>
          <w:u w:val="single"/>
          <w:lang w:val="en-US" w:bidi="ar-SA"/>
        </w:rPr>
        <w:instrText xml:space="preserve"> HYPERLINK "https://www.rev.com/transcription/rate/1EFB8B1F40EFB7019AAE2B8E691F3A88D34FD7040F12E835775BBA7B" </w:instrText>
      </w:r>
      <w:r>
        <w:rPr>
          <w:rStyle w:val="DefaultParagraphFont"/>
          <w:rFonts w:eastAsia="MS Mincho"/>
          <w:b/>
          <w:color w:val="0000FF"/>
          <w:sz w:val="24"/>
          <w:u w:val="single"/>
          <w:lang w:val="en-US" w:bidi="ar-SA"/>
        </w:rPr>
        <w:fldChar w:fldCharType="separate"/>
      </w:r>
      <w:r>
        <w:rPr>
          <w:rStyle w:val="DefaultParagraphFont"/>
          <w:rFonts w:eastAsia="MS Mincho"/>
          <w:b/>
          <w:color w:val="0000FF"/>
          <w:sz w:val="24"/>
          <w:u w:val="single"/>
          <w:lang w:val="en-US" w:bidi="ar-SA"/>
        </w:rPr>
        <w:t>Rate this transcript</w:t>
      </w:r>
      <w:r>
        <w:rPr>
          <w:rStyle w:val="DefaultParagraphFont"/>
          <w:rFonts w:eastAsia="MS Mincho"/>
          <w:b/>
          <w:color w:val="0000FF"/>
          <w:sz w:val="24"/>
          <w:u w:val="single"/>
          <w:lang w:val="en-US" w:bidi="ar-SA"/>
        </w:rPr>
        <w:fldChar w:fldCharType="end"/>
      </w:r>
      <w:bookmarkEnd w:id="0"/>
      <w:r>
        <w:rPr>
          <w:rStyle w:val="DefaultParagraphFont"/>
          <w:rFonts w:eastAsia="MS Mincho"/>
          <w:b/>
          <w:color w:val="0000FF"/>
          <w:sz w:val="24"/>
          <w:u w:val="single"/>
          <w:lang w:val="en-US" w:bidi="ar-SA"/>
        </w:rPr>
        <w:br w:type="page"/>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1:</w:t>
      </w:r>
      <w:r>
        <w:rPr>
          <w:rFonts w:ascii="Calibri" w:eastAsia="Calibri" w:hAnsi="Calibri" w:cs="Calibri"/>
          <w:b w:val="0"/>
          <w:i w:val="0"/>
          <w:color w:val="000000"/>
          <w:sz w:val="22"/>
        </w:rPr>
        <w:tab/>
      </w:r>
      <w:r>
        <w:rPr>
          <w:rFonts w:ascii="Calibri" w:eastAsia="Calibri" w:hAnsi="Calibri" w:cs="Calibri"/>
          <w:b w:val="0"/>
          <w:i w:val="0"/>
          <w:color w:val="000000"/>
          <w:sz w:val="22"/>
        </w:rPr>
        <w:t xml:space="preserve">The clients that come to us are clients that really seek out a different level of service then they might get at a sort of big box corporate law firm. We're able to offer a competitive rate for clients that are sick and tired of that experience. </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What we wanted to provide is a level of service so that a client comes, meets us, knows that we are involved in every step of their case.</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r>
        <w:rPr>
          <w:rFonts w:ascii="Calibri" w:eastAsia="Calibri" w:hAnsi="Calibri" w:cs="Calibri"/>
          <w:b w:val="0"/>
          <w:i w:val="0"/>
          <w:color w:val="000000"/>
          <w:sz w:val="22"/>
        </w:rPr>
        <w:tab/>
      </w:r>
      <w:r>
        <w:rPr>
          <w:rFonts w:ascii="Calibri" w:eastAsia="Calibri" w:hAnsi="Calibri" w:cs="Calibri"/>
          <w:b w:val="0"/>
          <w:i w:val="0"/>
          <w:color w:val="000000"/>
          <w:sz w:val="22"/>
        </w:rPr>
        <w:t>I think the concern that larger companies often have is whether a smaller boutique firm has the bandwidth. That's a reality at a small law firm. There's only so many hours in the day, there's only so many people in the firm.</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ab/>
        <w:t>We actually kind of have developed a model to address that through an association of a number of counsel attorneys who are able to offer support. Or contract attorney's. As well as an affiliation with two other law firms in town where we almost are a modular law firm. Effectively over night we can go from an eight-man law firm to a 20-person law firm.</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1:</w:t>
      </w:r>
      <w:r>
        <w:rPr>
          <w:rFonts w:ascii="Calibri" w:eastAsia="Calibri" w:hAnsi="Calibri" w:cs="Calibri"/>
          <w:b w:val="0"/>
          <w:i w:val="0"/>
          <w:color w:val="000000"/>
          <w:sz w:val="22"/>
        </w:rPr>
        <w:tab/>
      </w:r>
      <w:r>
        <w:rPr>
          <w:rFonts w:ascii="Calibri" w:eastAsia="Calibri" w:hAnsi="Calibri" w:cs="Calibri"/>
          <w:b w:val="0"/>
          <w:i w:val="0"/>
          <w:color w:val="000000"/>
          <w:sz w:val="22"/>
        </w:rPr>
        <w:t>There have been a number of clients that have contacted, I know I've had conversations with Chris where clients have called him and said, "Why are our bills not higher? What's going on?" What we're doing is if there's not something specifically happening on the case at that moment, we'll let you know.</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2:</w:t>
      </w:r>
      <w:r>
        <w:rPr>
          <w:rFonts w:ascii="Calibri" w:eastAsia="Calibri" w:hAnsi="Calibri" w:cs="Calibri"/>
          <w:b w:val="0"/>
          <w:i w:val="0"/>
          <w:color w:val="000000"/>
          <w:sz w:val="22"/>
        </w:rPr>
        <w:tab/>
      </w:r>
      <w:r>
        <w:rPr>
          <w:rFonts w:ascii="Calibri" w:eastAsia="Calibri" w:hAnsi="Calibri" w:cs="Calibri"/>
          <w:b w:val="0"/>
          <w:i w:val="0"/>
          <w:color w:val="000000"/>
          <w:sz w:val="22"/>
        </w:rPr>
        <w:t>People don't have endlessly deep pockets and litigation is often prohibitively expenses. And we take strains to balance those two competing forces. And we try to do a lot of work on the front end to determine what the strategy will be when the case does come to a resolution at trial even if it's two, three years later.</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1:</w:t>
      </w:r>
      <w:r>
        <w:rPr>
          <w:rFonts w:ascii="Calibri" w:eastAsia="Calibri" w:hAnsi="Calibri" w:cs="Calibri"/>
          <w:b w:val="0"/>
          <w:i w:val="0"/>
          <w:color w:val="000000"/>
          <w:sz w:val="22"/>
        </w:rPr>
        <w:tab/>
      </w:r>
      <w:r>
        <w:rPr>
          <w:rFonts w:ascii="Calibri" w:eastAsia="Calibri" w:hAnsi="Calibri" w:cs="Calibri"/>
          <w:b w:val="0"/>
          <w:i w:val="0"/>
          <w:color w:val="000000"/>
          <w:sz w:val="22"/>
        </w:rPr>
        <w:t>So we have three former prosecutors. Now you've got three people who spent the first part of their career on their feet, every single day in court. And we sit here and strategize and talk about different things that might have to do with your case.</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3:</w:t>
      </w:r>
      <w:r>
        <w:rPr>
          <w:rFonts w:ascii="Calibri" w:eastAsia="Calibri" w:hAnsi="Calibri" w:cs="Calibri"/>
          <w:b w:val="0"/>
          <w:i w:val="0"/>
          <w:color w:val="000000"/>
          <w:sz w:val="22"/>
        </w:rPr>
        <w:tab/>
      </w:r>
      <w:r>
        <w:rPr>
          <w:rFonts w:ascii="Calibri" w:eastAsia="Calibri" w:hAnsi="Calibri" w:cs="Calibri"/>
          <w:b w:val="0"/>
          <w:i w:val="0"/>
          <w:color w:val="000000"/>
          <w:sz w:val="22"/>
        </w:rPr>
        <w:t>We can't guarantee a result. But what we can guarantee is that we're going work as hard as we possibly can for that client. And that goes for all our clients.</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4:</w:t>
      </w:r>
      <w:r>
        <w:rPr>
          <w:rFonts w:ascii="Calibri" w:eastAsia="Calibri" w:hAnsi="Calibri" w:cs="Calibri"/>
          <w:b w:val="0"/>
          <w:i w:val="0"/>
          <w:color w:val="000000"/>
          <w:sz w:val="22"/>
        </w:rPr>
        <w:tab/>
      </w:r>
      <w:r>
        <w:rPr>
          <w:rFonts w:ascii="Calibri" w:eastAsia="Calibri" w:hAnsi="Calibri" w:cs="Calibri"/>
          <w:b w:val="0"/>
          <w:i w:val="0"/>
          <w:color w:val="000000"/>
          <w:sz w:val="22"/>
        </w:rPr>
        <w:t>It's a very hardworking firm and I think that the clients are going to get very good results with the attorneys that we have. Since we are smaller, we are able to, I think, communicate better and work isn't delegated between three or four attorneys. It's the same attorneys handling the same cases.</w:t>
      </w:r>
    </w:p>
    <w:p w:rsidR="00A77B3E">
      <w:pPr>
        <w:spacing w:before="240" w:beforeAutospacing="1"/>
        <w:ind w:left="1440" w:hanging="1440"/>
        <w:jc w:val="left"/>
        <w:rPr>
          <w:rFonts w:ascii="Calibri" w:eastAsia="Calibri" w:hAnsi="Calibri" w:cs="Calibri"/>
          <w:b w:val="0"/>
          <w:i w:val="0"/>
          <w:color w:val="000000"/>
          <w:sz w:val="22"/>
        </w:rPr>
      </w:pPr>
      <w:r>
        <w:rPr>
          <w:rFonts w:ascii="Calibri" w:eastAsia="Calibri" w:hAnsi="Calibri" w:cs="Calibri"/>
          <w:b w:val="0"/>
          <w:i w:val="0"/>
          <w:color w:val="000000"/>
          <w:sz w:val="22"/>
        </w:rPr>
        <w:t>Speaker 1:</w:t>
      </w:r>
      <w:r>
        <w:rPr>
          <w:rFonts w:ascii="Calibri" w:eastAsia="Calibri" w:hAnsi="Calibri" w:cs="Calibri"/>
          <w:b w:val="0"/>
          <w:i w:val="0"/>
          <w:color w:val="000000"/>
          <w:sz w:val="22"/>
        </w:rPr>
        <w:tab/>
      </w:r>
      <w:r>
        <w:rPr>
          <w:rFonts w:ascii="Calibri" w:eastAsia="Calibri" w:hAnsi="Calibri" w:cs="Calibri"/>
          <w:b w:val="0"/>
          <w:i w:val="0"/>
          <w:color w:val="000000"/>
          <w:sz w:val="22"/>
        </w:rPr>
        <w:t>A boutique law firm is different than any other type of firm because what we can do is operate on a small scale and do really specialized type of cases. We're trying to provide a value for what they pay.</w:t>
      </w:r>
    </w:p>
    <w:p w:rsidR="00A77B3E">
      <w:pPr>
        <w:spacing w:before="240" w:beforeAutospacing="1"/>
        <w:ind w:left="1440" w:hanging="1440"/>
        <w:jc w:val="left"/>
        <w:rPr>
          <w:rFonts w:ascii="Calibri" w:eastAsia="Calibri" w:hAnsi="Calibri" w:cs="Calibri"/>
          <w:b w:val="0"/>
          <w:i w:val="0"/>
          <w:color w:val="000000"/>
          <w:sz w:val="22"/>
        </w:rPr>
      </w:pPr>
    </w:p>
    <w:p w:rsidR="00A77B3E">
      <w:pPr>
        <w:spacing w:before="240" w:beforeAutospacing="1"/>
        <w:ind w:left="1440" w:hanging="144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1440" w:hanging="144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20369132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82067928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54995556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674702195"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210307875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2040538924"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210126779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1440" w:hanging="144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1440" w:hanging="1440"/>
        <w:jc w:val="center"/>
        <w:rPr>
          <w:rFonts w:ascii="Calibri" w:eastAsia="Calibri" w:hAnsi="Calibri" w:cs="Calibri"/>
          <w:b/>
          <w:i w:val="0"/>
          <w:color w:val="0000FF"/>
          <w:sz w:val="24"/>
          <w:u w:val="single"/>
        </w:rPr>
      </w:pPr>
      <w:r>
        <w:rPr>
          <w:rFonts w:ascii="Calibri" w:eastAsia="Calibri" w:hAnsi="Calibri" w:cs="Calibri"/>
          <w:b/>
          <w:i w:val="0"/>
          <w:color w:val="0000FF"/>
          <w:sz w:val="24"/>
          <w:u w:val="single"/>
        </w:rPr>
        <w:fldChar w:fldCharType="begin"/>
      </w:r>
      <w:r>
        <w:rPr>
          <w:rFonts w:ascii="Calibri" w:eastAsia="Calibri" w:hAnsi="Calibri" w:cs="Calibri"/>
          <w:b/>
          <w:i w:val="0"/>
          <w:color w:val="0000FF"/>
          <w:sz w:val="24"/>
          <w:u w:val="single"/>
        </w:rPr>
        <w:instrText xml:space="preserve"> HYPERLINK "https://www.rev.com/transcription/rate/1EFB8B1F40EFB7019AAE2B8E691F3A88D34FD7040F12E835775BBA7B" </w:instrText>
      </w:r>
      <w:r>
        <w:rPr>
          <w:rFonts w:ascii="Calibri" w:eastAsia="Calibri" w:hAnsi="Calibri" w:cs="Calibri"/>
          <w:b/>
          <w:i w:val="0"/>
          <w:color w:val="0000FF"/>
          <w:sz w:val="24"/>
          <w:u w:val="single"/>
        </w:rPr>
        <w:fldChar w:fldCharType="separate"/>
      </w:r>
      <w:r>
        <w:rPr>
          <w:rFonts w:ascii="Calibri" w:eastAsia="Calibri" w:hAnsi="Calibri" w:cs="Calibri"/>
          <w:b/>
          <w:i w:val="0"/>
          <w:color w:val="0000FF"/>
          <w:sz w:val="24"/>
          <w:u w:val="single"/>
        </w:rPr>
        <w:t>Rate this transcript</w:t>
      </w:r>
      <w:r>
        <w:rPr>
          <w:rFonts w:ascii="Calibri" w:eastAsia="Calibri" w:hAnsi="Calibri" w:cs="Calibri"/>
          <w:b/>
          <w:i w:val="0"/>
          <w:color w:val="0000FF"/>
          <w:sz w:val="24"/>
          <w:u w:val="single"/>
        </w:rPr>
        <w:fldChar w:fldCharType="end"/>
      </w: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The Advantage of a Boutique Law Firm  Richards Carrington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"https://www.rev.com/transcription/convrttc?t=1EFB8B1F40EFB7019AAE2B8E691F3A88D34FD7040F12E835775BBA7B"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1EFB8B1F40EFB7019AAE2B8E691F3A88D34FD7040F12E835775BBA7B/4" TargetMode="External" /><Relationship Id="rId11" Type="http://schemas.openxmlformats.org/officeDocument/2006/relationships/hyperlink" Target="https://www.rev.com/transcription/rate/1EFB8B1F40EFB7019AAE2B8E691F3A88D34FD7040F12E835775BBA7B/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1EFB8B1F40EFB7019AAE2B8E691F3A88D34FD7040F12E835775BBA7B/1" TargetMode="External" /><Relationship Id="rId7" Type="http://schemas.openxmlformats.org/officeDocument/2006/relationships/image" Target="media/image2.png" /><Relationship Id="rId8" Type="http://schemas.openxmlformats.org/officeDocument/2006/relationships/hyperlink" Target="https://www.rev.com/transcription/rate/1EFB8B1F40EFB7019AAE2B8E691F3A88D34FD7040F12E835775BBA7B/2" TargetMode="External" /><Relationship Id="rId9" Type="http://schemas.openxmlformats.org/officeDocument/2006/relationships/hyperlink" Target="https://www.rev.com/transcription/rate/1EFB8B1F40EFB7019AAE2B8E691F3A88D34FD7040F12E835775BBA7B/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